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Advertising restrictions</w:t>
      </w:r>
    </w:p>
    <w:p>
      <w:pPr>
        <w:jc w:val="both"/>
        <w:spacing w:before="100" w:after="100"/>
        <w:ind w:start="360"/>
        <w:ind w:firstLine="360"/>
      </w:pPr>
      <w:r>
        <w:rPr/>
      </w:r>
      <w:r>
        <w:rPr/>
      </w:r>
      <w:r>
        <w:t xml:space="preserve">A person who makes, publishes or circulates, or causes to be made, published or circulated, any statement that uses the existence of the association for the purpose of sales, solicitation or inducement to purchase any form of insurance has committed an unfair trade practice that is subject to a cease and desist order pursuant to </w:t>
      </w:r>
      <w:r>
        <w:t>section 2165‑A</w:t>
      </w:r>
      <w:r>
        <w:t xml:space="preserve"> and to any applicable penalty provided by this Title.</w:t>
      </w:r>
      <w:r>
        <w:t xml:space="preserve">  </w:t>
      </w:r>
      <w:r xmlns:wp="http://schemas.openxmlformats.org/drawingml/2010/wordprocessingDrawing" xmlns:w15="http://schemas.microsoft.com/office/word/2012/wordml">
        <w:rPr>
          <w:rFonts w:ascii="Arial" w:hAnsi="Arial" w:cs="Arial"/>
          <w:sz w:val="22"/>
          <w:szCs w:val="22"/>
        </w:rPr>
        <w:t xml:space="preserve">[RR 2021, c. 2, Pt. A,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279, §9 (NEW). RR 2021, c. 2, Pt. A,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§4451. Advertising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Advertising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§4451. ADVERTISING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