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4361</w:t>
        <w:t xml:space="preserve">.  </w:t>
      </w:r>
      <w:r>
        <w:rPr>
          <w:b/>
        </w:rPr>
        <w:t xml:space="preserve">Service of process</w:t>
      </w:r>
    </w:p>
    <w:p>
      <w:pPr>
        <w:jc w:val="both"/>
        <w:spacing w:before="100" w:after="100"/>
        <w:ind w:start="360"/>
        <w:ind w:firstLine="360"/>
      </w:pPr>
      <w:r>
        <w:rPr/>
      </w:r>
      <w:r>
        <w:rPr/>
      </w:r>
      <w:r>
        <w:t xml:space="preserve">A certified copy of any order to show cause issued under </w:t>
      </w:r>
      <w:r>
        <w:t>section 4360</w:t>
      </w:r>
      <w:r>
        <w:t xml:space="preserve">, and a copy of the petition upon which the same is made, must be served upon the insurer by delivering the same to its president, vice-president, secretary, treasurer, director or to its managing agent or attorney in fact, if a reciprocal insurer; or if no such officer or functionary can readily be found in this State, then such process may be served upon the insurer by service thereof upon the superintendent pursuant to </w:t>
      </w:r>
      <w:r>
        <w:t>section 421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§51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§4361. Service of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§4361. Service of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§4361. SERVICE OF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