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4340</w:t>
        <w:t xml:space="preserve">.  </w:t>
      </w:r>
      <w:r>
        <w:rPr>
          <w:b/>
        </w:rPr>
        <w:t xml:space="preserve">Financial viability</w:t>
      </w:r>
    </w:p>
    <w:p>
      <w:pPr>
        <w:jc w:val="both"/>
        <w:spacing w:before="100" w:after="100"/>
        <w:ind w:start="360"/>
        <w:ind w:firstLine="360"/>
      </w:pPr>
      <w:r>
        <w:rPr/>
      </w:r>
      <w:r>
        <w:rPr/>
      </w:r>
      <w:r>
        <w:t xml:space="preserve">Each carrier and downstream entity requesting a waiver shall file with the superintendent a plan for managing financial exposure under those downstream risk arrangement contracts and thereafter operate in substantial conformance with the terms of that plan and of the corresponding waiver.  At least 60 days before any material change in a filed and approved exposure management plan, the carrier and downstream entity shall file for the superintendent's review and approval a modified plan, along with any changes in related contracts.</w:t>
      </w:r>
      <w:r>
        <w:t xml:space="preserve">  </w:t>
      </w:r>
      <w:r xmlns:wp="http://schemas.openxmlformats.org/drawingml/2010/wordprocessingDrawing" xmlns:w15="http://schemas.microsoft.com/office/word/2012/wordml">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§4340. Financial viability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§4340. Financial viability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§4340. FINANCIAL VIABILITY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