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4334</w:t>
        <w:t xml:space="preserve">.  </w:t>
      </w:r>
      <w:r>
        <w:rPr>
          <w:b/>
        </w:rPr>
        <w:t xml:space="preserve">Substantial insurance risk; substantial enrollment risk</w:t>
      </w:r>
    </w:p>
    <w:p>
      <w:pPr>
        <w:jc w:val="both"/>
        <w:spacing w:before="100" w:after="0"/>
        <w:ind w:start="360"/>
        <w:ind w:firstLine="360"/>
      </w:pPr>
      <w:r>
        <w:rPr>
          <w:b/>
        </w:rPr>
        <w:t>1</w:t>
        <w:t xml:space="preserve">.  </w:t>
      </w:r>
      <w:r>
        <w:rPr>
          <w:b/>
        </w:rPr>
        <w:t xml:space="preserve">Substantial insurance risk.</w:t>
        <w:t xml:space="preserve"> </w:t>
      </w:r>
      <w:r>
        <w:t xml:space="preserve"> </w:t>
      </w:r>
      <w:r>
        <w:t xml:space="preserve">Substantial insurance risk is risk based on the use or costs of referral services only, when the downstream entity is at risk for more than 25% of potential payments by the carrier to the downstream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Substantial enrollment risk.</w:t>
        <w:t xml:space="preserve"> </w:t>
      </w:r>
      <w:r>
        <w:t xml:space="preserve"> </w:t>
      </w:r>
      <w:r>
        <w:t xml:space="preserve">Substantial enrollment risk exists when a carrier enters into a risk arrangement with a downstream entity involving more than 25% of the enrollees served by the carrier in the State unless the risk arrangement is a risk-sharing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§4334. Substantial insurance risk; substantial enrollment risk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§4334. Substantial insurance risk; substantial enrollment risk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§4334. SUBSTANTIAL INSURANCE RISK; SUBSTANTIAL ENROLLMENT RISK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