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4218-A</w:t>
        <w:t xml:space="preserve">.  </w:t>
      </w:r>
      <w:r>
        <w:rPr>
          <w:b/>
        </w:rPr>
        <w:t xml:space="preserve">Compliance with the Affordable Care Act</w:t>
      </w:r>
    </w:p>
    <w:p>
      <w:pPr>
        <w:jc w:val="both"/>
        <w:spacing w:before="100" w:after="100"/>
        <w:ind w:start="360"/>
        <w:ind w:firstLine="360"/>
      </w:pPr>
      <w:r>
        <w:rPr/>
      </w:r>
      <w:r>
        <w:rPr/>
      </w:r>
      <w:r>
        <w:t xml:space="preserve">The superintendent may adopt and amend rules, establish standards and enforce federal statutes and regulations in order to carry out the purposes of the federal Affordable Care Act. Rules or amendments to rules adopted pursuant to this section, including amendments to major substantive rules,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364,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§19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§4218-A. Compliance with the Affordable Care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§4218-A. Compliance with the Affordable Care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§4218-A. COMPLIANCE WITH THE AFFORDABLE CARE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