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Benefits</w:t>
      </w:r>
    </w:p>
    <w:p>
      <w:pPr>
        <w:jc w:val="both"/>
        <w:spacing w:before="100" w:after="100"/>
        <w:ind w:start="360"/>
        <w:ind w:firstLine="360"/>
      </w:pPr>
      <w:r>
        <w:rPr>
          <w:b/>
        </w:rPr>
        <w:t>1</w:t>
        <w:t xml:space="preserve">.  </w:t>
      </w:r>
      <w:r>
        <w:rPr>
          <w:b/>
        </w:rPr>
      </w:r>
      <w:r>
        <w:t xml:space="preserve"> </w:t>
      </w:r>
      <w:r>
        <w:t xml:space="preserve">A society authorized to do business in this State may provide for the payment of:</w:t>
      </w:r>
    </w:p>
    <w:p>
      <w:pPr>
        <w:jc w:val="both"/>
        <w:spacing w:before="100" w:after="0"/>
        <w:ind w:start="720"/>
      </w:pPr>
      <w:r>
        <w:rPr/>
        <w:t>A</w:t>
        <w:t xml:space="preserve">.  </w:t>
      </w:r>
      <w:r>
        <w:rPr/>
      </w:r>
      <w:r>
        <w:t xml:space="preserve">Death benefits in any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Endowment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Annuity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Temporary or permanent disability benefits as a result of disease or accident;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Hospital, medical or nursing benefits due to sickness or bodily infirmity or accident;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Monument or tombstone benefits to the memory of deceased members not exceeding in any case the sum of $300.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benefits may be provided on the lives of members or, upon application of a member, on the lives of the member's family, including the member, the member's spouse and minor children, in the same or separate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§4114.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