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w:t>
        <w:t xml:space="preserve">.  </w:t>
      </w:r>
      <w:r>
        <w:rPr>
          <w:b/>
        </w:rPr>
        <w:t xml:space="preserve">Exceptions to certificate of authority requirement</w:t>
      </w:r>
    </w:p>
    <w:p>
      <w:pPr>
        <w:jc w:val="both"/>
        <w:spacing w:before="100" w:after="100"/>
        <w:ind w:start="360"/>
        <w:ind w:firstLine="360"/>
      </w:pPr>
      <w:r>
        <w:rPr/>
      </w:r>
      <w:r>
        <w:rPr/>
      </w:r>
      <w:r>
        <w:t xml:space="preserve">A certificate of authority shall not be required of an insurer with respect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Investigation, settlement or litigation of claims under its policies lawfully written in this State, or liquidation of assets and liabilities of the insurer, other than collection of new premiums, all as resulting from its former authorized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provided in </w:t>
      </w:r>
      <w:r>
        <w:t>section 404, subsection 2</w:t>
      </w:r>
      <w:r>
        <w:t xml:space="preserve">, transactions thereunder subsequent to issuance of a policy covering only subjects of insurance not resident, located or expressly to be performed in this State at time of issuance, and lawfully solicited, written and delivered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Transactions pursuant to surplus lines coverages lawfully written under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Reinsurance, except as to domestic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Transactions relative to its investments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Any suit or action by the duly constituted receiver, rehabilitator or liquidator of the insurer, or of the insurer's assignee or successor, under laws similar to those contained in </w:t>
      </w:r>
      <w:r>
        <w:t>chapter 57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§1 (AMD).]</w:t>
      </w:r>
    </w:p>
    <w:p>
      <w:pPr>
        <w:jc w:val="both"/>
        <w:spacing w:before="100" w:after="0"/>
        <w:ind w:start="360"/>
        <w:ind w:firstLine="360"/>
      </w:pPr>
      <w:r>
        <w:rPr>
          <w:b/>
        </w:rPr>
        <w:t>7</w:t>
        <w:t xml:space="preserve">.  </w:t>
      </w:r>
      <w:r>
        <w:rPr>
          <w:b/>
        </w:rPr>
      </w:r>
      <w:r>
        <w:t xml:space="preserve"> </w:t>
      </w:r>
      <w:r>
        <w:t xml:space="preserve">Transactions pursuant to individual health insurance covering residents of this State written by a regional insurer or health maintenance organization, as defined in </w:t>
      </w:r>
      <w:r>
        <w:t>section 405‑A</w:t>
      </w:r>
      <w:r>
        <w:t xml:space="preserve">, duly authorized or qualified to transact individual health insurance in the state or country of its domicile if the superintendent certifies that the regional insurer or health maintenance organization meets the requirements of </w:t>
      </w:r>
      <w:r>
        <w:t>section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2011, c. 90, Pt. C,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§405. Exceptions to certificate of authority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 Exceptions to certificate of authority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 EXCEPTIONS TO CERTIFICATE OF AUTHORITY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