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2937-A</w:t>
        <w:t xml:space="preserve">.  </w:t>
      </w:r>
      <w:r>
        <w:rPr>
          <w:b/>
        </w:rPr>
        <w:t xml:space="preserve">Disclosure of underwriting</w:t>
      </w:r>
    </w:p>
    <w:p>
      <w:pPr>
        <w:jc w:val="both"/>
        <w:spacing w:before="100" w:after="100"/>
        <w:ind w:start="360"/>
        <w:ind w:firstLine="360"/>
      </w:pPr>
      <w:r>
        <w:rPr/>
      </w:r>
      <w:r>
        <w:rPr/>
      </w:r>
      <w:r>
        <w:t xml:space="preserve">A person is deemed to be engaged in deceptive advertising if the person makes, publishes or circulates or causes to be made, published or circulated any written statement relating to an underwritten Maine mass marketing plan, if that written statement does not include a conspicuous notice that some members of the group to which the plan is marketed will not be eligible for insurance.  A person making the statement is subject to a desist order issued under </w:t>
      </w:r>
      <w:r>
        <w:t>section 2165</w:t>
      </w:r>
      <w:r>
        <w:t xml:space="preserve"> and to any applicable penalty provided by law.</w:t>
      </w:r>
      <w:r>
        <w:t xml:space="preserve">  </w:t>
      </w:r>
      <w:r xmlns:wp="http://schemas.openxmlformats.org/drawingml/2010/wordprocessingDrawing" xmlns:w15="http://schemas.microsoft.com/office/word/2012/wordml">
        <w:rPr>
          <w:rFonts w:ascii="Arial" w:hAnsi="Arial" w:cs="Arial"/>
          <w:sz w:val="22"/>
          <w:szCs w:val="22"/>
        </w:rPr>
        <w:t xml:space="preserve">[PL 1989,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§2937-A. Disclosure of underwriting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§2937-A. DISCLOSURE OF UNDERWRITING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