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Insured told of alternate coverage</w:t>
      </w:r>
    </w:p>
    <w:p>
      <w:pPr>
        <w:jc w:val="both"/>
        <w:spacing w:before="100" w:after="100"/>
        <w:ind w:start="360"/>
        <w:ind w:firstLine="360"/>
      </w:pPr>
      <w:r>
        <w:rPr/>
      </w:r>
      <w:r>
        <w:rPr/>
      </w:r>
      <w:r>
        <w:t xml:space="preserve">When automobile bodily injury and property damage liability coverage is cancelled or not renewed, other than for nonpayment of premium, the insurer shall notify the named insured of the named insured's possible eligibility for automobile liability insurance through the Maine Automobile Insurance Plan. Such notice must accompany the notice of cancellation or intent not to renew.</w:t>
      </w:r>
      <w:r>
        <w:t xml:space="preserve">  </w:t>
      </w:r>
      <w:r xmlns:wp="http://schemas.openxmlformats.org/drawingml/2010/wordprocessingDrawing" xmlns:w15="http://schemas.microsoft.com/office/word/2012/wordml">
        <w:rPr>
          <w:rFonts w:ascii="Arial" w:hAnsi="Arial" w:cs="Arial"/>
          <w:sz w:val="22"/>
          <w:szCs w:val="22"/>
        </w:rPr>
        <w:t xml:space="preserve">[RR 2021, c. 1,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RR 2021, c. 1, Pt. B, §257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Insured told of alternate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Insured told of alternate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§2921. INSURED TOLD OF ALTERNATE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