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2842</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insurance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insureds at public expense.  To assist the many citizens of this State who suffer from this illness in a more cost-effective way, the Legislature declares that certain health insurance coverage providing benefits for the treatment of the illness of substance use disorder must be included in all group health insurance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Registered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§9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insurer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§95 (AMD).]</w:t>
      </w:r>
    </w:p>
    <w:p>
      <w:pPr>
        <w:jc w:val="both"/>
        <w:spacing w:before="100" w:after="0"/>
        <w:ind w:start="720"/>
      </w:pPr>
      <w:r>
        <w:rPr/>
        <w:t>B</w:t>
        <w:t xml:space="preserve">.  </w:t>
      </w:r>
      <w:r>
        <w:rPr/>
      </w:r>
      <w:r>
        <w:t xml:space="preserve">Outpatient care rendered by state licensed, certified or approved providers.</w:t>
      </w:r>
      <w:r>
        <w:t xml:space="preserve">  </w:t>
      </w:r>
      <w:r xmlns:wp="http://schemas.openxmlformats.org/drawingml/2010/wordprocessingDrawing" xmlns:w15="http://schemas.microsoft.com/office/word/2012/wordml">
        <w:rPr>
          <w:rFonts w:ascii="Arial" w:hAnsi="Arial" w:cs="Arial"/>
          <w:sz w:val="22"/>
          <w:szCs w:val="22"/>
        </w:rPr>
        <w:t xml:space="preserve">[PL 1983, c. 527, §2 (NEW).]</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policies issued to employers with 20 or fewer employees insured under the group policy or to group policies designed primarily to supplement the Civilian Health and Medical Program of the Uniformed Services, as described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group health insurer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insurer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insurers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§§2,3 (NEW). PL 1983, c. 527, §2 (RPR). PL 1987, c. 480, §5 (AMD). PL 1989, c. 490, §3 (AMD). PL 2011, c. 320, Pt. A, §10 (AMD). RR 2015, c. 2, §14 (COR). PL 2017, c. 407, Pt. A, §95 (AMD). RR 2017,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§2842. Equitable health care for substance use disorder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§2842. Equitable health care for substance use disorder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§2842. EQUITABLE HEALTH CARE FOR SUBSTANCE USE DISORDER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