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Withdrawal, default and termination -- Article 14</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compacting state.  A compacting state may withdraw from the compact by enacting a statute specifically repealing the statute that enacted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effective date of withdrawal is the effective date of the repealing law.  However, the withdrawal does not apply to any product filings approved or self-certified, or any advertisement of such products, on the date the repealing statute becomes effective, except by mutual agreement of the commission and the withdrawing state unless the approval is rescinded by the withdrawing state as provided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commissioner of the withdrawing state shall immediately notify the management committee in writing upon the introduction of legislation repealing this compact in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commission shall notify the other compacting states of the introduction of such legislation within 10 days after it receives notice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The withdrawing state is responsible for all obligations, duties and liabilities incurred through the effective date of withdrawal, including any obligations the performance of which extend beyond the effective date of withdrawal, except to the extent those obligations may have been released or relinquished by mutual agreement of the commission and the withdrawing state.  The commission's approval of products and advertisements prior to the effective date of withdrawal continues to be effective and must be given full force and effect in the withdrawing state unless formally rescinded by the withdrawing state in the same manner as provided by the laws of the withdrawing state for the prospective disapproval of products or advertisements previously approved under state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Reinstatement following withdrawal of any compacting state occurs upon the effective date of the withdrawing state's reenacting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Default.</w:t>
        <w:t xml:space="preserve"> </w:t>
      </w:r>
      <w:r>
        <w:t xml:space="preserve"> </w:t>
      </w:r>
      <w:r>
        <w:t xml:space="preserve">The following provisions govern default.</w:t>
      </w:r>
    </w:p>
    <w:p>
      <w:pPr>
        <w:jc w:val="both"/>
        <w:spacing w:before="100" w:after="0"/>
        <w:ind w:start="720"/>
      </w:pPr>
      <w:r>
        <w:rPr/>
        <w:t>A</w:t>
        <w:t xml:space="preserve">.  </w:t>
      </w:r>
      <w:r>
        <w:rPr/>
      </w:r>
      <w:r>
        <w:t xml:space="preserve">If the commission determines that a compacting state has defaulted in the performance of any of its obligations or responsibilities under this compact, the bylaws or duly promulgated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any other grounds designated in commission rules.  The commission shall immediately notify the defaulting state in writing of the defaulting state's suspension pending a cure of the default.  The commission shall stipulate the conditions and the time period within which the defaulting state must cure its default.  If the defaulting state fails to cure the default within the time period specified by the commission, the defaulting state must be terminated from the compact and all rights, privileges and benefits conferred by this compact are terminated from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Product approvals by the commission or product self-certifications, or any advertisement in connection with such a product, that are in force on the effective date of termination remain in force in the defaulting state in the same manner as if the defaulting state had withdrawn voluntarily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Reinstatement following termination of a compacting state requires a reenactment of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Dissolution of compact.</w:t>
        <w:t xml:space="preserve"> </w:t>
      </w:r>
      <w:r>
        <w:t xml:space="preserve"> </w:t>
      </w:r>
      <w:r>
        <w:t xml:space="preserve">The following provisions govern the dissolution of the compact.</w:t>
      </w:r>
    </w:p>
    <w:p>
      <w:pPr>
        <w:jc w:val="both"/>
        <w:spacing w:before="100" w:after="0"/>
        <w:ind w:start="720"/>
      </w:pPr>
      <w:r>
        <w:rPr/>
        <w:t>A</w:t>
        <w:t xml:space="preserve">.  </w:t>
      </w:r>
      <w:r>
        <w:rPr/>
      </w:r>
      <w:r>
        <w:t xml:space="preserve">The compact dissolves upon the date of the withdrawal or default of the compacting state that reduces membership in the compact to one compacting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Upon the dissolution of this compact, the compact becomes void and is of no further effect, and the business and affairs of the commission must be wound up and any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§2485. Withdrawal, default and termination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Withdrawal, default and termination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§2485. WITHDRAWAL, DEFAULT AND TERMINATION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