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212-A</w:t>
        <w:t xml:space="preserve">.  </w:t>
      </w:r>
      <w:r>
        <w:rPr>
          <w:b/>
        </w:rPr>
        <w:t xml:space="preserve">Parity for insurance agents and brokers</w:t>
      </w:r>
    </w:p>
    <w:p>
      <w:pPr>
        <w:jc w:val="both"/>
        <w:spacing w:before="100" w:after="100"/>
        <w:ind w:start="360"/>
        <w:ind w:firstLine="360"/>
      </w:pPr>
      <w:r>
        <w:rPr/>
      </w:r>
      <w:r>
        <w:rPr/>
      </w:r>
      <w:r>
        <w:t xml:space="preserve">Notwithstanding any other provision of law, to the extent authorized by the superintendent by rule, a licensed agent or broker has the power to engage in any insurance activity that financial institutions chartered by or otherwise subject to the jurisdiction of the Federal Government are authorized to engage in pursuant to federal law or regulation or by a court of competent jurisdiction.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§212-A. Parity for insurance agents and brokers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§212-A. Parity for insurance agents and brokers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§212-A. PARITY FOR INSURANCE AGENTS AND BROKERS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