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2018</w:t>
        <w:t xml:space="preserve">.  </w:t>
      </w:r>
      <w:r>
        <w:rPr>
          <w:b/>
        </w:rPr>
        <w:t xml:space="preserve">Failure to pay tax</w:t>
      </w:r>
    </w:p>
    <w:p>
      <w:pPr>
        <w:jc w:val="both"/>
        <w:spacing w:before="100" w:after="100"/>
        <w:ind w:start="360"/>
        <w:ind w:firstLine="360"/>
      </w:pPr>
      <w:r>
        <w:rPr/>
      </w:r>
      <w:r>
        <w:rPr/>
      </w:r>
      <w:r>
        <w:t xml:space="preserve">If any producer fails to remit the tax provided by </w:t>
      </w:r>
      <w:r>
        <w:t>section 2016</w:t>
      </w:r>
      <w:r>
        <w:t xml:space="preserve"> within 30 days after the tax is due, the superintendent may, following an adjudicatory hearing, assess a penalty of not less than $25 for each day of delinquency.  Any fine collected by the superintendent must be paid to the Treasurer of State and credited to the Insurance Regulatory Fund.</w:t>
      </w:r>
      <w:r>
        <w:t xml:space="preserve">  </w:t>
      </w:r>
      <w:r xmlns:wp="http://schemas.openxmlformats.org/drawingml/2010/wordprocessingDrawing" xmlns:w15="http://schemas.microsoft.com/office/word/2012/wordml">
        <w:rPr>
          <w:rFonts w:ascii="Arial" w:hAnsi="Arial" w:cs="Arial"/>
          <w:sz w:val="22"/>
          <w:szCs w:val="22"/>
        </w:rPr>
        <w:t xml:space="preserve">[PL 1997, c. 592, §63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1979, c. 541, §A162 (AMD). PL 1991, c. 298, §5 (AMD). PL 1991, c. 674, §2 (AMD). PL 1997, c. 592, §63 (AMD). RR 1997, c. 2, §49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§2018. Failure to pay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§2018. Failure to pay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§2018. FAILURE TO PAY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