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Savings and loan institutions</w:t>
      </w:r>
    </w:p>
    <w:p>
      <w:pPr>
        <w:jc w:val="both"/>
        <w:spacing w:before="100" w:after="100"/>
        <w:ind w:start="360"/>
        <w:ind w:firstLine="360"/>
      </w:pPr>
      <w:r>
        <w:rPr/>
      </w:r>
      <w:r>
        <w:rPr/>
      </w:r>
      <w:r>
        <w:t xml:space="preserve">An insurer may invest in the shares of savings and loan or buildings and loan associations or in the savings accounts of federal savings and loan associations, to the extent that the investment or account is insured by the Federal Savings and Loan Insurance Corporation pursuant to the National Housing Act of 1934, as amended.</w:t>
      </w:r>
      <w:r>
        <w:t xml:space="preserve">  </w:t>
      </w:r>
      <w:r xmlns:wp="http://schemas.openxmlformats.org/drawingml/2010/wordprocessingDrawing" xmlns:w15="http://schemas.microsoft.com/office/word/2012/wordml">
        <w:rPr>
          <w:rFonts w:ascii="Arial" w:hAnsi="Arial" w:cs="Arial"/>
          <w:sz w:val="22"/>
          <w:szCs w:val="22"/>
        </w:rPr>
        <w:t xml:space="preserve">[PL 1969, c. 177,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§1119. Savings and loan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Savings and loan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§1119. SAVINGS AND LOAN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