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6819</w:t>
        <w:t xml:space="preserve">.  </w:t>
      </w:r>
      <w:r>
        <w:rPr>
          <w:b/>
        </w:rPr>
        <w:t xml:space="preserve">Civil remedies; individual remedy</w:t>
      </w:r>
    </w:p>
    <w:p>
      <w:pPr>
        <w:jc w:val="both"/>
        <w:spacing w:before="100" w:after="0"/>
        <w:ind w:start="360"/>
        <w:ind w:firstLine="360"/>
      </w:pPr>
      <w:r>
        <w:rPr>
          <w:b/>
        </w:rPr>
        <w:t>1</w:t>
        <w:t xml:space="preserve">.  </w:t>
      </w:r>
      <w:r>
        <w:rPr>
          <w:b/>
        </w:rPr>
        <w:t xml:space="preserve">Civil remedies and enforcement.</w:t>
        <w:t xml:space="preserve"> </w:t>
      </w:r>
      <w:r>
        <w:t xml:space="preserve"> </w:t>
      </w:r>
      <w:r>
        <w:t xml:space="preserve">In addition to the penalties available pursuant to </w:t>
      </w:r>
      <w:r>
        <w:t>section 6814</w:t>
      </w:r>
      <w:r>
        <w:t xml:space="preserve">, the superintendent may assess fines or take any other enforcement action permitted under </w:t>
      </w:r>
      <w:r>
        <w:t>section 12‑A</w:t>
      </w:r>
      <w:r>
        <w:t xml:space="preserve"> against any person who violates any provision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2</w:t>
        <w:t xml:space="preserve">.  </w:t>
      </w:r>
      <w:r>
        <w:rPr>
          <w:b/>
        </w:rPr>
        <w:t xml:space="preserve">Superior Court action.</w:t>
        <w:t xml:space="preserve"> </w:t>
      </w:r>
      <w:r>
        <w:t xml:space="preserve"> </w:t>
      </w:r>
      <w:r>
        <w:t xml:space="preserve">Any person who is injured by any action of a person in violation of this chapter may bring an action in Superior Court. The requirements for notice and filing of a cause of action under this subsection are governed by the Maine Rules of Civil Procedure. The person may recover damages, together with costs and disbursements.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w:pPr>
        <w:jc w:val="both"/>
        <w:spacing w:before="100" w:after="0"/>
        <w:ind w:start="360"/>
        <w:ind w:firstLine="360"/>
      </w:pPr>
      <w:r>
        <w:rPr>
          <w:b/>
        </w:rPr>
        <w:t>3</w:t>
        <w:t xml:space="preserve">.  </w:t>
      </w:r>
      <w:r>
        <w:rPr>
          <w:b/>
        </w:rPr>
        <w:t xml:space="preserve">No private right of action.</w:t>
        <w:t xml:space="preserve"> </w:t>
      </w:r>
      <w:r>
        <w:t xml:space="preserve"> </w:t>
      </w:r>
      <w:r>
        <w:t xml:space="preserve">Except as specifically provided in </w:t>
      </w:r>
      <w:r>
        <w:t>subsection 2</w:t>
      </w:r>
      <w:r>
        <w:t xml:space="preserve">, this chapter provides no express or implied private right of 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636, §18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§6819. Civil remedies; individual remedy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§6819. Civil remedies; individual remedy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§6819. CIVIL REMEDIES; INDIVIDUAL REMEDY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