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6720</w:t>
        <w:t xml:space="preserve">.  </w:t>
      </w:r>
      <w:r>
        <w:rPr>
          <w:b/>
        </w:rPr>
        <w:t xml:space="preserve">Fees, taxes and assessments</w:t>
      </w:r>
    </w:p>
    <w:p>
      <w:pPr>
        <w:jc w:val="both"/>
        <w:spacing w:before="100" w:after="100"/>
        <w:ind w:start="360"/>
        <w:ind w:firstLine="360"/>
      </w:pPr>
      <w:r>
        <w:rPr/>
      </w:r>
      <w:r>
        <w:rPr/>
      </w:r>
      <w:r>
        <w:t xml:space="preserve">Except as otherwise specified in this chapter, all fees, taxes and assessments as set out in </w:t>
      </w:r>
      <w:r>
        <w:t>sections 237</w:t>
      </w:r>
      <w:r>
        <w:t xml:space="preserve">, </w:t>
      </w:r>
      <w:r>
        <w:t>601</w:t>
      </w:r>
      <w:r>
        <w:t xml:space="preserve"> and </w:t>
      </w:r>
      <w:r>
        <w:t>602</w:t>
      </w:r>
      <w:r>
        <w:t xml:space="preserve"> apply to captive insurers in the same manner as they apply to other insurers.</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§6720. Fees, taxes and assessments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§6720. Fees, taxes and assessments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§6720. FEES, TAXES AND ASSESSMENTS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