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6713</w:t>
        <w:t xml:space="preserve">.  </w:t>
      </w:r>
      <w:r>
        <w:rPr>
          <w:b/>
        </w:rPr>
        <w:t xml:space="preserve">Exemption from compulsory associations</w:t>
      </w:r>
    </w:p>
    <w:p>
      <w:pPr>
        <w:jc w:val="both"/>
        <w:spacing w:before="100" w:after="100"/>
        <w:ind w:start="360"/>
        <w:ind w:firstLine="360"/>
      </w:pPr>
      <w:r>
        <w:rPr/>
      </w:r>
      <w:r>
        <w:rPr/>
      </w:r>
      <w:r>
        <w:t xml:space="preserve">A captive insurance company may not join or contribute financially to any plan, pool, association or guaranty or insolvency fund in this State, and a captive insurance company and its insureds, its parent or any affiliated company or member organization of its association may not receive any benefit from the plan, pool, association or guaranty or insolvency fund for claims arising out of the operations of the captive insurance company.</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§6713. Exemption from compulsory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§6713. Exemption from compulsory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§6713. EXEMPTION FROM COMPULSORY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