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Binding effects of orders issued in the United States District Court</w:t>
      </w:r>
    </w:p>
    <w:p>
      <w:pPr>
        <w:jc w:val="both"/>
        <w:spacing w:before="100" w:after="100"/>
        <w:ind w:start="360"/>
        <w:ind w:firstLine="360"/>
      </w:pPr>
      <w:r>
        <w:rPr/>
      </w:r>
      <w:r>
        <w:rPr/>
      </w:r>
      <w:r>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a hazardous financial condition, shall be enforceable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Binding effects of orders issued in the United States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Binding effects of orders issued in the United States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§6103. BINDING EFFECTS OF ORDERS ISSUED IN THE UNITED STATES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