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w:t>
        <w:t xml:space="preserve">.  </w:t>
      </w:r>
      <w:r>
        <w:rPr>
          <w:b/>
        </w:rPr>
        <w:t xml:space="preserve">Administrative and procedural authority regarding risk retention groups and purchasing groups</w:t>
      </w:r>
    </w:p>
    <w:p>
      <w:pPr>
        <w:jc w:val="both"/>
        <w:spacing w:before="100" w:after="100"/>
        <w:ind w:start="360"/>
        <w:ind w:firstLine="360"/>
      </w:pPr>
      <w:r>
        <w:rPr/>
      </w:r>
      <w:r>
        <w:rPr/>
      </w:r>
      <w:r>
        <w:t xml:space="preserve">The superintendent is authorized to make use of any of the powers established under the Maine Insurance Code as long as those powers are not specifically preempted by the Product Liability Risk Retention Act of 1981, as amended by the Risk Retention Amendments of 1986.  This includes, but is not limited to, the superintendent's administrative authority to investigate, issue subpoenas, conduct depositions and hearings, issue orders and impose penalties.  With regard to any investigation, administrative proceedings or litigation, the superintendent can rely on the procedural laws and rules of the State.  The superintendent's injunctive authority in regard to risk retention groups is restricted by the requirement that any injunction be issued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 Administrative and procedural authority regarding risk retention groups and purchasing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 Administrative and procedural authority regarding risk retention groups and purchasing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§6100. ADMINISTRATIVE AND PROCEDURAL AUTHORITY REGARDING RISK RETENTION GROUPS AND PURCHASING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