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Tax on premiums and annuity considerations</w:t>
      </w:r>
    </w:p>
    <w:p>
      <w:pPr>
        <w:jc w:val="both"/>
        <w:spacing w:before="100" w:after="100"/>
        <w:ind w:start="360"/>
        <w:ind w:firstLine="360"/>
      </w:pPr>
      <w:r>
        <w:rPr/>
      </w:r>
      <w:r>
        <w:rPr/>
      </w:r>
      <w:r>
        <w:t xml:space="preserve">As to returns and taxes on premiums and annuity considerations refer to </w:t>
      </w:r>
      <w:r>
        <w:t>Title 36, chapter 357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502, §A92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Tax on premiums and annuity considerations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Tax on premiums and annuity considerations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§602. TAX ON PREMIUMS AND ANNUITY CONSIDERATIONS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