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4382</w:t>
        <w:t xml:space="preserve">.  </w:t>
      </w:r>
      <w:r>
        <w:rPr>
          <w:b/>
        </w:rPr>
        <w:t xml:space="preserve">Report and petition for assessment</w:t>
      </w:r>
    </w:p>
    <w:p>
      <w:pPr>
        <w:jc w:val="both"/>
        <w:spacing w:before="100" w:after="100"/>
        <w:ind w:start="360"/>
        <w:ind w:firstLine="360"/>
      </w:pPr>
      <w:r>
        <w:rPr/>
      </w:r>
      <w:r>
        <w:rPr/>
      </w:r>
      <w:r>
        <w:t xml:space="preserve">Within 3 years after the date of the entry of an order of rehabilitation or liquidation of a domestic mutual insurer or a domestic reciprocal insurer, the superintendent may make and file the superintendent's report and petition to the court setting forth:</w:t>
      </w:r>
      <w:r>
        <w:t xml:space="preserve">  </w:t>
      </w:r>
      <w:r xmlns:wp="http://schemas.openxmlformats.org/drawingml/2010/wordprocessingDrawing" xmlns:w15="http://schemas.microsoft.com/office/word/2012/wordml">
        <w:rPr>
          <w:rFonts w:ascii="Arial" w:hAnsi="Arial" w:cs="Arial"/>
          <w:sz w:val="22"/>
          <w:szCs w:val="22"/>
        </w:rPr>
        <w:t xml:space="preserve">[RR 2021, c. 1, Pt. B, §376 (COR).]</w:t>
      </w:r>
    </w:p>
    <w:p>
      <w:pPr>
        <w:jc w:val="both"/>
        <w:spacing w:before="100" w:after="0"/>
        <w:ind w:start="360"/>
        <w:ind w:firstLine="360"/>
      </w:pPr>
      <w:r>
        <w:rPr>
          <w:b/>
        </w:rPr>
        <w:t>1</w:t>
        <w:t xml:space="preserve">.  </w:t>
      </w:r>
      <w:r>
        <w:rPr>
          <w:b/>
        </w:rPr>
      </w:r>
      <w:r>
        <w:t xml:space="preserve"> </w:t>
      </w:r>
      <w:r>
        <w:t xml:space="preserve">The reasonable value of the assets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liabilities of the insurer to the extent thus far ascertained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r>
      <w:r>
        <w:t xml:space="preserve"> </w:t>
      </w:r>
      <w:r>
        <w:t xml:space="preserve">The aggregate amount of the assessment, if any, which the superintendent deems reasonably necessary to pay all claims, the costs and expenses of the collection of the assessments and the costs and expenses of the delinquency proceedings in full;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4</w:t>
        <w:t xml:space="preserve">.  </w:t>
      </w:r>
      <w:r>
        <w:rPr>
          <w:b/>
        </w:rPr>
      </w:r>
      <w:r>
        <w:t xml:space="preserve"> </w:t>
      </w:r>
      <w:r>
        <w:t xml:space="preserve">Any other information relative to the affairs or property of the insurer that the superintendent deems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§376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§4382. Report and petition for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§4382. Report and petition for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§4382. REPORT AND PETITION FOR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