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§4375-A. VOIDABLE PROPERTY TRANSFERS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