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4219</w:t>
        <w:t xml:space="preserve">.  </w:t>
      </w:r>
      <w:r>
        <w:rPr>
          <w:b/>
        </w:rPr>
        <w:t xml:space="preserve">Administrative procedures</w:t>
      </w:r>
    </w:p>
    <w:p>
      <w:pPr>
        <w:jc w:val="both"/>
        <w:spacing w:before="100" w:after="0"/>
        <w:ind w:start="360"/>
        <w:ind w:firstLine="360"/>
      </w:pPr>
      <w:r>
        <w:rPr>
          <w:b/>
        </w:rPr>
        <w:t>1</w:t>
        <w:t xml:space="preserve">.  </w:t>
      </w:r>
      <w:r>
        <w:rPr>
          <w:b/>
        </w:rPr>
      </w:r>
      <w:r>
        <w:t xml:space="preserve"> </w:t>
      </w:r>
      <w:r>
        <w:t xml:space="preserve">When the superintendent has cause to believe that grounds exist for the suspension or revocation of a certificate of authority, the superintendent shall notify the health maintenance organization and the Commissioner of Health and Human Services in writing specifically stating the grounds for suspension or revocation.  The Commissioner of Health and Human Services, or the commissioner's designated representative, shall participate in any disciplinary proceedings.  In the process of determining whether grounds for suspension or revocation exist the findings of the commissioner with respect to matters relating to the quality of health care services provided are conclusive and binding upon the Superintendent of Insurance.  The duration of and conditions attached to any suspension are determined by the superintendent after a hearing held in accordance with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§72 (AMD); PL 2003, c. 689, Pt. B, §7 (REV).]</w:t>
      </w:r>
    </w:p>
    <w:p>
      <w:pPr>
        <w:jc w:val="both"/>
        <w:spacing w:before="100" w:after="0"/>
        <w:ind w:start="360"/>
        <w:ind w:firstLine="360"/>
      </w:pPr>
      <w:r>
        <w:rPr>
          <w:b/>
        </w:rPr>
        <w:t>2</w:t>
        <w:t xml:space="preserve">.  </w:t>
      </w:r>
      <w:r>
        <w:rPr>
          <w:b/>
        </w:rPr>
      </w:r>
      <w:r>
        <w:t xml:space="preserve"> </w:t>
      </w:r>
      <w:r>
        <w:t xml:space="preserve">The Superintendent of Insurance, acting in concert with the Commissioner of Health and Human Services, has the authority to amend, modify or refuse to renew any certificate of authority for cause, pursuant to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§436 (RPR);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1977, c. 694, §436 (RPR). PL 1997, c. 592, §72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§4219. Administrative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§4219. Administrative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§4219. ADMINISTRATIVE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