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4218</w:t>
        <w:t xml:space="preserve">.  </w:t>
      </w:r>
      <w:r>
        <w:rPr>
          <w:b/>
        </w:rPr>
        <w:t xml:space="preserve">Regulations</w:t>
      </w:r>
    </w:p>
    <w:p>
      <w:pPr>
        <w:jc w:val="both"/>
        <w:spacing w:before="100" w:after="100"/>
        <w:ind w:start="360"/>
        <w:ind w:firstLine="360"/>
      </w:pPr>
      <w:r>
        <w:rPr/>
      </w:r>
      <w:r>
        <w:rPr/>
      </w:r>
      <w:r>
        <w:t xml:space="preserve">The superintendent may, after notice and hearing pursuant to the Maine Administrative Procedure Act, </w:t>
      </w:r>
      <w:r>
        <w:t>Title 5, chapter 375, subchapter II</w:t>
      </w:r>
      <w:r>
        <w:t xml:space="preserve">, promulgate reasonable rules and regulations as are necessary or proper to carry out this chapter. Such rules and regulations shall be subject to review in accordance with </w:t>
      </w:r>
      <w:r>
        <w:t>sections 229</w:t>
      </w:r>
      <w:r>
        <w:t xml:space="preserve"> to </w:t>
      </w:r>
      <w:r>
        <w:t>236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694, §435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503 (NEW). PL 1977, c. 694, §435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§4218.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§4218.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§4218.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