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4204-A</w:t>
        <w:t xml:space="preserve">.  </w:t>
      </w:r>
      <w:r>
        <w:rPr>
          <w:b/>
        </w:rPr>
        <w:t xml:space="preserve">Surplus requirements</w:t>
      </w:r>
    </w:p>
    <w:p>
      <w:pPr>
        <w:jc w:val="both"/>
        <w:spacing w:before="100" w:after="0"/>
        <w:ind w:start="360"/>
        <w:ind w:firstLine="360"/>
      </w:pPr>
      <w:r>
        <w:rPr>
          <w:b/>
        </w:rPr>
        <w:t>1</w:t>
        <w:t xml:space="preserve">.  </w:t>
      </w:r>
      <w:r>
        <w:rPr>
          <w:b/>
        </w:rPr>
        <w:t xml:space="preserve">Initial minimum surplus.</w:t>
        <w:t xml:space="preserve"> </w:t>
      </w:r>
      <w:r>
        <w:t xml:space="preserve"> </w:t>
      </w:r>
      <w:r>
        <w:t xml:space="preserve">To qualify for authority as a health maintenance organization, an organization shall have an initial minimum surplus of $1,500,000.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2</w:t>
        <w:t xml:space="preserve">.  </w:t>
      </w:r>
      <w:r>
        <w:rPr>
          <w:b/>
        </w:rPr>
        <w:t xml:space="preserve">Surplus maintained.</w:t>
        <w:t xml:space="preserve"> </w:t>
      </w:r>
      <w:r>
        <w:t xml:space="preserve"> </w:t>
      </w:r>
      <w:r>
        <w:t xml:space="preserve">Except as provided in this section, every health maintenance organization must maintain a minimum surplus equal to the greater of:</w:t>
      </w:r>
    </w:p>
    <w:p>
      <w:pPr>
        <w:jc w:val="both"/>
        <w:spacing w:before="100" w:after="0"/>
        <w:ind w:start="720"/>
      </w:pPr>
      <w:r>
        <w:rPr/>
        <w:t>A</w:t>
        <w:t xml:space="preserve">.  </w:t>
      </w:r>
      <w:r>
        <w:rPr/>
      </w:r>
      <w:r>
        <w:t xml:space="preserve">One million dollars;</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Two percent of the first $150,000,000 of annual premium revenues as reported in the most recent annual financial statement filed with the superintendent by the health maintenance organization, plus 1% of annual premium in excess of $150,000,000;</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C</w:t>
        <w:t xml:space="preserve">.  </w:t>
      </w:r>
      <w:r>
        <w:rPr/>
      </w:r>
      <w:r>
        <w:t xml:space="preserve">An amount equal to the sum of 3 months' uncovered health care expenditures as reported in the most recent annual financial statement filed with the superintendent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D</w:t>
        <w:t xml:space="preserve">.  </w:t>
      </w:r>
      <w:r>
        <w:rPr/>
      </w:r>
      <w:r>
        <w:t xml:space="preserve">An amount equal to 8% of the health maintenance organization's annual health care expenditures, except those paid on a capitated basis, as reported in the most recent annual financial statement filed with the superintendent by the health maintenance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169, Pt. A, §10 (AMD).]</w:t>
      </w:r>
    </w:p>
    <w:p>
      <w:pPr>
        <w:jc w:val="both"/>
        <w:spacing w:before="100" w:after="0"/>
        <w:ind w:start="720"/>
      </w:pPr>
      <w:r>
        <w:rPr/>
        <w:t>E</w:t>
        <w:t xml:space="preserve">.  </w:t>
      </w:r>
      <w:r>
        <w:rPr/>
      </w:r>
      <w:r>
        <w:t xml:space="preserve">An amount equal to the company action level risk-based capital as defined in </w:t>
      </w:r>
      <w:r>
        <w:t>chapter 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§10 (AMD).]</w:t>
      </w:r>
    </w:p>
    <w:p>
      <w:pPr>
        <w:jc w:val="both"/>
        <w:spacing w:before="100" w:after="0"/>
        <w:ind w:start="360"/>
        <w:ind w:firstLine="360"/>
      </w:pPr>
      <w:r>
        <w:rPr>
          <w:b/>
        </w:rPr>
        <w:t>2-A</w:t>
        <w:t xml:space="preserve">.  </w:t>
      </w:r>
      <w:r>
        <w:rPr>
          <w:b/>
        </w:rPr>
        <w:t xml:space="preserve">Additional surplus.</w:t>
        <w:t xml:space="preserve"> </w:t>
      </w:r>
      <w:r>
        <w:t xml:space="preserve"> </w:t>
      </w:r>
      <w:r>
        <w:t xml:space="preserve">A health maintenance organization that otherwise possesses surplus funds as required under this section shall also maintain surplus in a reasonable amount as determined by the superintendent in relation to indemnity risks assumed through the issuance of a point-of-service product, net of any applicable reinsurance.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§4 (NEW).]</w:t>
      </w:r>
    </w:p>
    <w:p>
      <w:pPr>
        <w:jc w:val="both"/>
        <w:spacing w:before="100" w:after="100"/>
        <w:ind w:start="360"/>
        <w:ind w:firstLine="360"/>
      </w:pPr>
      <w:r>
        <w:rPr>
          <w:b/>
        </w:rPr>
        <w:t>3</w:t>
        <w:t xml:space="preserve">.  </w:t>
      </w:r>
      <w:r>
        <w:rPr>
          <w:b/>
        </w:rPr>
        <w:t xml:space="preserve">Exceptions.</w:t>
        <w:t xml:space="preserve"> </w:t>
      </w:r>
      <w:r>
        <w:t xml:space="preserve"> </w:t>
      </w:r>
      <w:r>
        <w:t xml:space="preserve">A health maintenance organization licensed before the effective date of this section must maintain a minimum surplus of:</w:t>
      </w:r>
    </w:p>
    <w:p>
      <w:pPr>
        <w:jc w:val="both"/>
        <w:spacing w:before="100" w:after="0"/>
        <w:ind w:start="720"/>
      </w:pPr>
      <w:r>
        <w:rPr/>
        <w:t>A</w:t>
        <w:t xml:space="preserve">.  </w:t>
      </w:r>
      <w:r>
        <w:rPr/>
      </w:r>
      <w:r>
        <w:t xml:space="preserve">Forty percent of the amount required by </w:t>
      </w:r>
      <w:r>
        <w:t>subsection 2</w:t>
      </w:r>
      <w:r>
        <w:t xml:space="preserve"> until December 31, 1991;</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Sixty percent of the amount required by </w:t>
      </w:r>
      <w:r>
        <w:t>subsection 2</w:t>
      </w:r>
      <w:r>
        <w:t xml:space="preserve"> until December 31, 1992;</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C</w:t>
        <w:t xml:space="preserve">.  </w:t>
      </w:r>
      <w:r>
        <w:rPr/>
      </w:r>
      <w:r>
        <w:t xml:space="preserve">Eighty percent of the amount required by </w:t>
      </w:r>
      <w:r>
        <w:t>subsection 2</w:t>
      </w:r>
      <w:r>
        <w:t xml:space="preserve"> until December 31, 1993; and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D</w:t>
        <w:t xml:space="preserve">.  </w:t>
      </w:r>
      <w:r>
        <w:rPr/>
      </w:r>
      <w:r>
        <w:t xml:space="preserve">One hundred percent of the amount required by </w:t>
      </w:r>
      <w:r>
        <w:t>subsection 2</w:t>
      </w:r>
      <w:r>
        <w:t xml:space="preserve"> until December 31, 1994.</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w:pPr>
        <w:jc w:val="both"/>
        <w:spacing w:before="100" w:after="100"/>
        <w:ind w:start="360"/>
        <w:ind w:firstLine="360"/>
      </w:pPr>
      <w:r>
        <w:rPr>
          <w:b/>
        </w:rPr>
        <w:t>4</w:t>
        <w:t xml:space="preserve">.  </w:t>
      </w:r>
      <w:r>
        <w:rPr>
          <w:b/>
        </w:rPr>
        <w:t xml:space="preserve">Subordinated debt.</w:t>
        <w:t xml:space="preserve"> </w:t>
      </w:r>
      <w:r>
        <w:t xml:space="preserve"> </w:t>
      </w:r>
      <w:r>
        <w:t xml:space="preserve">Any health maintenance organization that issues a subordinated debt instrument shall structure the debt as follows.</w:t>
      </w:r>
    </w:p>
    <w:p>
      <w:pPr>
        <w:jc w:val="both"/>
        <w:spacing w:before="100" w:after="0"/>
        <w:ind w:start="720"/>
      </w:pPr>
      <w:r>
        <w:rPr/>
        <w:t>A</w:t>
        <w:t xml:space="preserve">.  </w:t>
      </w:r>
      <w:r>
        <w:rPr/>
      </w:r>
      <w:r>
        <w:t xml:space="preserve">In determining surplus, debt may not be considered fully subordinated unless the subordination clause is in a form approved by the superintendent.  Any interest obligation relating to the repayment of any subordinated debt must be similarly subordinated.</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w:pPr>
        <w:jc w:val="both"/>
        <w:spacing w:before="100" w:after="0"/>
        <w:ind w:start="720"/>
      </w:pPr>
      <w:r>
        <w:rPr/>
        <w:t>B</w:t>
        <w:t xml:space="preserve">.  </w:t>
      </w:r>
      <w:r>
        <w:rPr/>
      </w:r>
      <w:r>
        <w:t xml:space="preserve">Any debt incurred by a note that meets the requirements of this section, and is otherwise acceptable to the superintendent, may not be considered a liability and must be recorded as equity.</w:t>
      </w:r>
      <w:r>
        <w:t xml:space="preserve">  </w:t>
      </w:r>
      <w:r xmlns:wp="http://schemas.openxmlformats.org/drawingml/2010/wordprocessingDrawing" xmlns:w15="http://schemas.microsoft.com/office/word/2012/wordml">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§14 (NEW). PL 1991, c. 709, §4 (AMD). PL 2001, c. 88, §§3-5 (AMD). PL 2017, c. 169,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§4204-A. Surplus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§4204-A. Surplus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§4204-A. SURPLUS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