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Directors' residence, compensation</w:t>
      </w:r>
    </w:p>
    <w:p>
      <w:pPr>
        <w:jc w:val="both"/>
        <w:spacing w:before="100" w:after="0"/>
        <w:ind w:start="360"/>
        <w:ind w:firstLine="360"/>
      </w:pPr>
      <w:r>
        <w:rPr>
          <w:b/>
        </w:rPr>
        <w:t>1</w:t>
        <w:t xml:space="preserve">.  </w:t>
      </w:r>
      <w:r>
        <w:rPr>
          <w:b/>
        </w:rPr>
      </w:r>
      <w:r>
        <w:t xml:space="preserve"> </w:t>
      </w:r>
      <w:r>
        <w:t xml:space="preserve">A majority of the board of directors of the insurer shall be residents of, and actually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salary or compensation for services of the directors of the insurer shall be fixed by the policyholders at their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Directors' residence,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§3625. DIRECTORS' RESIDENCE,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