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Members are policyholders</w:t>
      </w:r>
    </w:p>
    <w:p>
      <w:pPr>
        <w:jc w:val="both"/>
        <w:spacing w:before="100" w:after="0"/>
        <w:ind w:start="360"/>
        <w:ind w:firstLine="360"/>
      </w:pPr>
      <w:r>
        <w:rPr>
          <w:b/>
        </w:rPr>
        <w:t>1</w:t>
        <w:t xml:space="preserve">.  </w:t>
      </w:r>
      <w:r>
        <w:rPr>
          <w:b/>
        </w:rPr>
      </w:r>
      <w:r>
        <w:t xml:space="preserve"> </w:t>
      </w:r>
      <w:r>
        <w:t xml:space="preserve">Each policyholder of a domestic mutual insurer, other than of a reinsurance contract, is a member of the insurer with all rights and obligations of such membership, as the charter and as the policy shall so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government or governmental agency, state or political subdivision thereof, public or private corporation, board, association, firm, estate, trustee or fiduciary may be a member of a domestic, foreign or alien mutual insurer. Any officer, stockholder, trustee or legal representative of any such corporation, board, association or estate may be recognized as acting for or on its behalf for the purpose of such membership, and shall not be personally liable upon any contract of insurance for acting in such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domestic corporation may participate as a member of a mutual insurer as an incidental purpose for which such corporation is organized, and as much granted as the rights and powers expressly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§3360. Members are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Members are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§3360. MEMBERS ARE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