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3058</w:t>
        <w:t xml:space="preserve">.  </w:t>
      </w:r>
      <w:r>
        <w:rPr>
          <w:b/>
        </w:rPr>
        <w:t xml:space="preserve">Refusal based on previous owner's losses</w:t>
      </w:r>
    </w:p>
    <w:p>
      <w:pPr>
        <w:jc w:val="both"/>
        <w:spacing w:before="100" w:after="100"/>
        <w:ind w:start="360"/>
        <w:ind w:firstLine="360"/>
      </w:pPr>
      <w:r>
        <w:rPr/>
      </w:r>
      <w:r>
        <w:rPr/>
      </w:r>
      <w:r>
        <w:t xml:space="preserve">An insurance company authorized to transact business in this State may not refuse to issue a property insurance policy subject to this subchapter for the sole reason that a previous owner of the property submitted claims for losses to the property.</w:t>
      </w:r>
      <w:r>
        <w:t xml:space="preserve">  </w:t>
      </w:r>
      <w:r xmlns:wp="http://schemas.openxmlformats.org/drawingml/2010/wordprocessingDrawing" xmlns:w15="http://schemas.microsoft.com/office/word/2012/wordml">
        <w:rPr>
          <w:rFonts w:ascii="Arial" w:hAnsi="Arial" w:cs="Arial"/>
          <w:sz w:val="22"/>
          <w:szCs w:val="22"/>
        </w:rPr>
        <w:t xml:space="preserve">[PL 2003, c. 671,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§A10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§3058. Refusal based on previous owner's losses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§3058. Refusal based on previous owner's losses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§3058. REFUSAL BASED ON PREVIOUS OWNER'S LOSSES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