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3004-A</w:t>
        <w:t xml:space="preserve">.  </w:t>
      </w:r>
      <w:r>
        <w:rPr>
          <w:b/>
        </w:rPr>
        <w:t xml:space="preserve">Actual cash value</w:t>
      </w:r>
    </w:p>
    <w:p>
      <w:pPr>
        <w:jc w:val="both"/>
        <w:spacing w:before="100" w:after="0"/>
        <w:ind w:start="360"/>
        <w:ind w:firstLine="360"/>
      </w:pPr>
      <w:r>
        <w:rPr>
          <w:b/>
        </w:rPr>
        <w:t>1</w:t>
        <w:t xml:space="preserve">.  </w:t>
      </w:r>
      <w:r>
        <w:rPr>
          <w:b/>
        </w:rPr>
        <w:t xml:space="preserve">Actual cash value.</w:t>
        <w:t xml:space="preserve"> </w:t>
      </w:r>
      <w:r>
        <w:t xml:space="preserve"> </w:t>
      </w:r>
      <w:r>
        <w:t xml:space="preserve">"Actual cash value", as used in </w:t>
      </w:r>
      <w:r>
        <w:t>section 3002</w:t>
      </w:r>
      <w:r>
        <w:t xml:space="preserve">, means the replacement cost of an insured item of property at the time of loss, less the value of physical depreciation as to the item damaged.  "Physical depreciation" means a value as determined according to standard business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316,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316,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§3004-A. Actual cash value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§3004-A. Actual cash value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§3004-A. ACTUAL CASH VALUE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