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w:t>
        <w:t xml:space="preserve">.  </w:t>
      </w:r>
      <w:r>
        <w:rPr>
          <w:b/>
        </w:rPr>
        <w:t xml:space="preserve">Rates filed</w:t>
      </w:r>
    </w:p>
    <w:p>
      <w:pPr>
        <w:jc w:val="both"/>
        <w:spacing w:before="100" w:after="100"/>
        <w:ind w:start="360"/>
        <w:ind w:firstLine="360"/>
      </w:pPr>
      <w:r>
        <w:rPr/>
      </w:r>
      <w:r>
        <w:rPr/>
      </w:r>
      <w: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insurance contracts and for certain association groups and other groups specified in </w:t>
      </w:r>
      <w:r>
        <w:t>section 2701, subsection 2, paragraph C</w:t>
      </w:r>
      <w:r>
        <w:t xml:space="preserve"> must be filed in accordance with </w:t>
      </w:r>
      <w:r>
        <w:t>section 2736</w:t>
      </w:r>
      <w:r>
        <w:t xml:space="preserve">.  Rates for small group health insurance subject to </w:t>
      </w:r>
      <w:r>
        <w:t>section 2808‑B</w:t>
      </w:r>
      <w:r>
        <w:t xml:space="preserve"> are subject to the additional filing requirements specified in that section.  A filing required under this section must be made electronically in a format required by the superintendent unless exempted by rule adopted by the superintendent.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§10 (NEW). PL 1979, c. 663, §149 (RAL). PL 1985, c. 648, §11 (AMD). PL 2003, c. 428, §E2 (AMD). PL 2009, c. 14, §5 (AMD). PL 2011, c. 238,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§2839. Rates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 Rates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 RATES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