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Approval of forms</w:t>
      </w:r>
    </w:p>
    <w:p>
      <w:pPr>
        <w:jc w:val="both"/>
        <w:spacing w:before="100" w:after="100"/>
        <w:ind w:start="360"/>
        <w:ind w:firstLine="360"/>
      </w:pPr>
      <w:r>
        <w:rPr/>
      </w:r>
      <w:r>
        <w:rPr/>
      </w:r>
      <w:r>
        <w:t xml:space="preserve">A policy form meeting the requirements of </w:t>
      </w:r>
      <w:r>
        <w:t>section 2441, subsection 1</w:t>
      </w:r>
      <w:r>
        <w:t xml:space="preserve"> shall be approved notwithstanding the provisions of any other laws which specify the content of policies, if the policy form provides the policyholders and claimants protection not less favorable than they would be entitled to under such laws.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§2444. Approval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Approval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§2444. APPROVAL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