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w:t>
        <w:t xml:space="preserve">.  </w:t>
      </w:r>
      <w:r>
        <w:rPr>
          <w:b/>
        </w:rPr>
        <w:t xml:space="preserve">Limitation of disapproval power</w:t>
      </w:r>
    </w:p>
    <w:p>
      <w:pPr>
        <w:jc w:val="both"/>
        <w:spacing w:before="100" w:after="100"/>
        <w:ind w:start="360"/>
        <w:ind w:firstLine="360"/>
      </w:pPr>
      <w:r>
        <w:rPr/>
      </w:r>
      <w:r>
        <w:rPr/>
      </w:r>
      <w:r>
        <w:t xml:space="preserve">A manual of classifications, rule or rating plan or any modification of any of the foregoing that establishes standards for measuring variations in hazards or expense provisions, or both, and that has been filed pursuant to </w:t>
      </w:r>
      <w:r>
        <w:t>section 2304‑A</w:t>
      </w:r>
      <w:r>
        <w:t xml:space="preserve"> may not be disapproved if the rates produced meet the requirements of this chapter and </w:t>
      </w:r>
      <w:r>
        <w:t>chapter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§71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§35 (AMD). PL 1969, c. 402, §6 (AMD). PL 1977, c. 78, §158 (RPR). RR 2021, c. 2, Pt. A, §71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 Limitation of disapproval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 Limitation of disapproval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§2307. LIMITATION OF DISAPPROVAL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