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w:t>
        <w:t xml:space="preserve">.  </w:t>
      </w:r>
      <w:r>
        <w:rPr>
          <w:b/>
        </w:rPr>
        <w:t xml:space="preserve">Unfair methods; deceptive acts prohibited</w:t>
      </w:r>
    </w:p>
    <w:p>
      <w:pPr>
        <w:jc w:val="both"/>
        <w:spacing w:before="100" w:after="100"/>
        <w:ind w:start="360"/>
        <w:ind w:firstLine="360"/>
      </w:pPr>
      <w:r>
        <w:rPr/>
      </w:r>
      <w:r>
        <w:rPr/>
      </w:r>
      <w:r>
        <w:t xml:space="preserve">No person shall engage in this State in any trade practice which is defined in this chapter, as, or determined pursuant to this chapter, to be an unfair method of competition or an unfair or deceptive act or practice in the business of insurance. No resident of this State shall engage in any other state in any trade practice which is defined in this chapter as, or determined pursuant to this chapter to be, an unfair method of competition or an unfair or deceptive act or practice in the business of insurance.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§2152. Unfair methods; deceptive acts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 Unfair methods; deceptive acts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§2152. UNFAIR METHODS; DECEPTIVE ACTS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