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Superintendent of Insurance; appointment; term</w:t>
      </w:r>
    </w:p>
    <w:p>
      <w:pPr>
        <w:jc w:val="both"/>
        <w:spacing w:before="100" w:after="0"/>
        <w:ind w:start="360"/>
        <w:ind w:firstLine="360"/>
      </w:pPr>
      <w:r>
        <w:rPr>
          <w:b/>
        </w:rPr>
        <w:t>1</w:t>
        <w:t xml:space="preserve">.  </w:t>
      </w:r>
      <w:r>
        <w:rPr>
          <w:b/>
        </w:rPr>
      </w:r>
      <w:r>
        <w:t xml:space="preserve"> </w:t>
      </w:r>
      <w:r>
        <w:t xml:space="preserve">The Superintendent of Insurance is the head of the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§7 (RPR).]</w:t>
      </w:r>
    </w:p>
    <w:p>
      <w:pPr>
        <w:jc w:val="both"/>
        <w:spacing w:before="100" w:after="0"/>
        <w:ind w:start="360"/>
        <w:ind w:firstLine="360"/>
      </w:pPr>
      <w:r>
        <w:rPr>
          <w:b/>
        </w:rPr>
        <w:t>2</w:t>
        <w:t xml:space="preserve">.  </w:t>
      </w:r>
      <w:r>
        <w:rPr>
          <w:b/>
        </w:rPr>
      </w:r>
      <w:r>
        <w:t xml:space="preserve"> </w:t>
      </w:r>
      <w:r>
        <w:t xml:space="preserve">The superintendent shall be appointed by the Governor and subject to review by the joint standing committee of the Legislature having jurisdiction over banking and insurance and to confirmation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105, §3 (AMD).]</w:t>
      </w:r>
    </w:p>
    <w:p>
      <w:pPr>
        <w:jc w:val="both"/>
        <w:spacing w:before="100" w:after="0"/>
        <w:ind w:start="360"/>
        <w:ind w:firstLine="360"/>
      </w:pPr>
      <w:r>
        <w:rPr>
          <w:b/>
        </w:rPr>
        <w:t>3</w:t>
        <w:t xml:space="preserve">.  </w:t>
      </w:r>
      <w:r>
        <w:rPr>
          <w:b/>
        </w:rPr>
      </w:r>
      <w:r>
        <w:t xml:space="preserve"> </w:t>
      </w:r>
      <w:r>
        <w:t xml:space="preserve">The superintendent shall hold the superintendent's office for 5 years or until the superintendent's successor has been appointed and has qualified. Any vacancy occurring must be filled by appointment for the unexpired portion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§148 (COR).]</w:t>
      </w:r>
    </w:p>
    <w:p>
      <w:pPr>
        <w:jc w:val="both"/>
        <w:spacing w:before="100" w:after="0"/>
        <w:ind w:start="360"/>
        <w:ind w:firstLine="360"/>
      </w:pPr>
      <w:r>
        <w:rPr>
          <w:b/>
        </w:rPr>
        <w:t>4</w:t>
        <w:t xml:space="preserve">.  </w:t>
      </w:r>
      <w:r>
        <w:rPr>
          <w:b/>
        </w:rPr>
      </w:r>
      <w:r>
        <w:t xml:space="preserve"> </w:t>
      </w:r>
      <w:r>
        <w:t xml:space="preserve">The superintendent shall be removable for cause by impeachment or by address of the Governor to both branches of the Legislature, and </w:t>
      </w:r>
      <w:r>
        <w:t>Title 5, section 931, subsection 2</w:t>
      </w:r>
      <w:r>
        <w:t xml:space="preserve">, shall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§7 (RPR). PL 1975, c. 771, §259 (AMD). PL 1981, c. 359, §§5-7 (AMD). PL 1987, c. 105, §3 (AMD). PL 1987, c. 402, §A151 (AMD). RR 2021, c. 1, Pt. B, §148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 Superintendent of Insurance; appointment;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Superintendent of Insurance; appointment; term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§201. SUPERINTENDENT OF INSURANCE; APPOINTMENT;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