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1461</w:t>
        <w:t xml:space="preserve">.  </w:t>
      </w:r>
      <w:r>
        <w:rPr>
          <w:b/>
        </w:rPr>
        <w:t xml:space="preserve">Scope of subchapter</w:t>
      </w:r>
    </w:p>
    <w:p>
      <w:pPr>
        <w:jc w:val="both"/>
        <w:spacing w:before="100" w:after="0"/>
        <w:ind w:start="360"/>
        <w:ind w:firstLine="360"/>
      </w:pPr>
      <w:r>
        <w:rPr>
          <w:b/>
        </w:rPr>
        <w:t>1</w:t>
        <w:t xml:space="preserve">.  </w:t>
      </w:r>
      <w:r>
        <w:rPr>
          <w:b/>
        </w:rPr>
        <w:t xml:space="preserve">Scope.</w:t>
        <w:t xml:space="preserve"> </w:t>
      </w:r>
      <w:r>
        <w:t xml:space="preserve"> </w:t>
      </w:r>
      <w:r>
        <w:t xml:space="preserve">This subchapter applies to consultants as defined in </w:t>
      </w:r>
      <w:r>
        <w:t>section 1402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Definition.</w:t>
        <w:t xml:space="preserve"> </w:t>
      </w:r>
      <w:r>
        <w:t xml:space="preserve"> </w:t>
      </w:r>
      <w:r>
        <w:t xml:space="preserve">Unless the context otherwise requires, "consultant," as used in this subchapter, means both property and casualty consultants and life and health consultants as defined in </w:t>
      </w:r>
      <w:r>
        <w:t>section 1402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§1461. Scope of subchapter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§1461. Scope of subchapter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§1461. SCOPE OF SUBCHAPTER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