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Insurance stocks</w:t>
      </w:r>
    </w:p>
    <w:p>
      <w:pPr>
        <w:jc w:val="both"/>
        <w:spacing w:before="100" w:after="0"/>
        <w:ind w:start="360"/>
        <w:ind w:firstLine="360"/>
      </w:pPr>
      <w:r>
        <w:rPr>
          <w:b/>
        </w:rPr>
        <w:t>1</w:t>
        <w:t xml:space="preserve">.  </w:t>
      </w:r>
      <w:r>
        <w:rPr>
          <w:b/>
        </w:rPr>
      </w:r>
      <w:r>
        <w:t xml:space="preserve"> </w:t>
      </w:r>
      <w:r>
        <w:t xml:space="preserve">An insurer may invest in the stocks of other solvent insurers formed under the laws of this or another state, which stocks meet the applicable requirements of </w:t>
      </w:r>
      <w:r>
        <w:t>section 1112</w:t>
      </w:r>
      <w:r>
        <w:t xml:space="preserve"> (preferred or guaranteed stocks) or </w:t>
      </w:r>
      <w:r>
        <w:t>1113</w:t>
      </w:r>
      <w:r>
        <w:t xml:space="preserve"> (common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With the superintendent's advance written consent an insurer may acquire and hold the controlling interest in the outstanding voting stock of a stock insurer formed under the laws of this or another state. The superintendent may not give consent if the superintendent finds that such acquisition would not be in the best interests of the insurers involved, or of their respective policyholders or stockholders, or that it would materially tend to lessen competition or to result in any monopoly in the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 Insurance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Insurance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§1114. INSURANCE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