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MAINE HEALTH CARE ACT</w:t>
      </w:r>
    </w:p>
    <w:p>
      <w:pPr>
        <w:jc w:val="center"/>
        <w:ind w:start="360"/>
        <w:spacing w:before="300" w:after="300"/>
      </w:pPr>
      <w:r>
        <w:rPr>
          <w:b/>
        </w:rPr>
        <w:t>(WHOLE CHAPTER FUTURE CONLICT: Text as enacted by PL 2021, c. 391, §2)</w:t>
      </w:r>
    </w:p>
    <w:p>
      <w:pPr>
        <w:jc w:val="center"/>
        <w:ind w:start="360"/>
        <w:spacing w:before="300" w:after="300"/>
      </w:pPr>
      <w:r>
        <w:rPr>
          <w:b/>
        </w:rPr>
        <w:t>(WHOLE CHAPTER TEXT EFFECTIVE UPON CONTINGENCY:  See PL 2021, c. 391, §4)</w:t>
      </w:r>
    </w:p>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MAINE HEALTH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MAINE HEALTH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