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8010</w:t>
        <w:t xml:space="preserve">.  </w:t>
      </w:r>
      <w:r>
        <w:rPr>
          <w:b/>
        </w:rPr>
        <w:t xml:space="preserve">Satisfaction of operating deficits</w:t>
      </w:r>
    </w:p>
    <w:p>
      <w:pPr>
        <w:jc w:val="both"/>
        <w:spacing w:before="100" w:after="100"/>
        <w:ind w:start="360"/>
        <w:ind w:firstLine="360"/>
      </w:pPr>
      <w:r>
        <w:rPr/>
      </w:r>
      <w:r>
        <w:rPr/>
      </w:r>
      <w:r>
        <w:t xml:space="preserve">The authority is directed to obtain all additional funds, through borrowing, revenues or other means, necessary to satisfy operating deficits arising from expenses, including capital expenditures, necessary to ensure the continuation of passenger rail service established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§8010. Satisfaction of operating deficits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§8010. Satisfaction of operating deficits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§8010. SATISFACTION OF OPERATING DEFICITS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