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7220</w:t>
        <w:t xml:space="preserve">.  </w:t>
      </w:r>
      <w:r>
        <w:rPr>
          <w:b/>
        </w:rPr>
        <w:t xml:space="preserve">Speed limit at highway grade crossings</w:t>
      </w:r>
    </w:p>
    <w:p>
      <w:pPr>
        <w:jc w:val="both"/>
        <w:spacing w:before="100" w:after="100"/>
        <w:ind w:start="360"/>
        <w:ind w:firstLine="360"/>
      </w:pPr>
      <w:r>
        <w:rPr/>
      </w:r>
      <w:r>
        <w:rPr/>
      </w:r>
      <w:r>
        <w:t xml:space="preserve">The department is authorized to fix a maximum speed limit at which trains may be run over any grade crossing of a highway or other way and, when the limit has been fixed by the department, no engine or train may be run over the crossings at a greater speed than that fixed by the department and no way may be unreasonably and negligently obstructed by engines, tenders or cars. Any railroad corporation forfeits not more than $100 for every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§7220. Speed limit at highway grade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§7220. Speed limit at highway grade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§7220. SPEED LIMIT AT HIGHWAY GRADE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