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6014</w:t>
        <w:t xml:space="preserve">.  </w:t>
      </w:r>
      <w:r>
        <w:rPr>
          <w:b/>
        </w:rPr>
        <w:t xml:space="preserve">When damages not paid</w:t>
      </w:r>
    </w:p>
    <w:p>
      <w:pPr>
        <w:jc w:val="both"/>
        <w:spacing w:before="100" w:after="100"/>
        <w:ind w:start="360"/>
        <w:ind w:firstLine="360"/>
      </w:pPr>
      <w:r>
        <w:rPr/>
      </w:r>
      <w:r>
        <w:rPr/>
      </w:r>
      <w:r>
        <w:t xml:space="preserve">When the damages remain unpaid for more than 30 days after they are due and demanded, equitable relief may be requested by the person entitled to them, praying for an injunction against the use or occupation of his land taken. If proceedings for an estimation of damages are not commenced within 3 years and the owner of the land requests equitable relief, the court may estimate the damages, decree their payment and issue an execution. The court, after summary notice to the corporation and upon proof of the facts may, without any bond filed, issue an injunction prohibiting the use and occupation until all damages and costs are paid. If payment has not been made within 90 days, a permanent injunction may be issued; and all rights acquired by taking the land and all rights of property in and to whatever has been placed upon it cease and the owner may maintain an action for its recovery and protection.</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§6014. When damages not paid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§6014. When damages not paid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§6014. WHEN DAMAGES NOT PAID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