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Maintenance</w:t>
      </w:r>
    </w:p>
    <w:p>
      <w:pPr>
        <w:jc w:val="both"/>
        <w:spacing w:before="100" w:after="100"/>
        <w:ind w:start="360"/>
        <w:ind w:firstLine="360"/>
      </w:pPr>
      <w:r>
        <w:rPr/>
      </w:r>
      <w:r>
        <w:rPr/>
      </w:r>
      <w:r>
        <w:t xml:space="preserve">The cost of maintenance of all bridges on state highways, and all approaches thereto, shall be borne wholly by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§402.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