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3656</w:t>
        <w:t xml:space="preserve">.  </w:t>
      </w:r>
      <w:r>
        <w:rPr>
          <w:b/>
        </w:rPr>
        <w:t xml:space="preserve">Repair within 6 years; location conclusive</w:t>
      </w:r>
    </w:p>
    <w:p>
      <w:pPr>
        <w:jc w:val="both"/>
        <w:spacing w:before="100" w:after="100"/>
        <w:ind w:start="360"/>
        <w:ind w:firstLine="360"/>
      </w:pPr>
      <w:r>
        <w:rPr/>
      </w:r>
      <w:r>
        <w:rPr/>
      </w:r>
      <w:r>
        <w:t xml:space="preserve">When on trial of any such action or indictment as provided for in </w:t>
      </w:r>
      <w:r>
        <w:t>section 3655</w:t>
      </w:r>
      <w:r>
        <w:t xml:space="preserve"> it appears that the defendant county or town has made repairs on the way or bridge within 6 years before the injury, it shall not deny the location of such way or bridge.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§3656. Repair within 6 years; location conclusive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§3656. Repair within 6 years; location conclusive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§3656. REPAIR WITHIN 6 YEARS; LOCATION CONCLUSIVE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