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2053</w:t>
        <w:t xml:space="preserve">.  </w:t>
      </w:r>
      <w:r>
        <w:rPr>
          <w:b/>
        </w:rPr>
        <w:t xml:space="preserve">Costs</w:t>
      </w:r>
    </w:p>
    <w:p>
      <w:pPr>
        <w:jc w:val="both"/>
        <w:spacing w:before="100" w:after="100"/>
        <w:ind w:start="360"/>
        <w:ind w:firstLine="360"/>
      </w:pPr>
      <w:r>
        <w:rPr/>
      </w:r>
      <w:r>
        <w:rPr/>
      </w:r>
      <w:r>
        <w:t xml:space="preserve">When their decision is against the prayer of the petitioners, the county commissioners shall order them to pay to the treasurer of the county, at a time fixed, all expenses incurred on account of it, and if they are not then paid, they shall issue a warrant of distress against the petitioners therefor.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§2053.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§2053.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§2053.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