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Effective date</w:t>
      </w:r>
    </w:p>
    <w:p>
      <w:pPr>
        <w:jc w:val="both"/>
        <w:spacing w:before="100" w:after="100"/>
        <w:ind w:start="360"/>
        <w:ind w:firstLine="360"/>
      </w:pPr>
      <w:r>
        <w:rPr/>
      </w:r>
      <w:r>
        <w:rPr/>
      </w:r>
      <w:r>
        <w:t xml:space="preserve">This chapter shall take effect when approved, except that the authority may not, at any time before any bonds outstanding on the effective date and the interest thereon shall have been paid or a sufficient amount for the payment of any such bonds, premium, if any, and the interest to maturity or prior redemption date thereon shall have been irrevocably set aside in trust for the benefit of the bondholders, provide any funds to the Department of Transportation for the construction, reconstruction, maintenance or repair of access roads.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