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 and</w:t>
      </w:r>
    </w:p>
    <w:p>
      <w:pPr>
        <w:jc w:val="both"/>
        <w:spacing w:before="100" w:after="0"/>
        <w:ind w:start="1080"/>
      </w:pPr>
      <w:r>
        <w:rPr/>
        <w:t>(</w:t>
        <w:t>2</w:t>
        <w:t xml:space="preserve">)  </w:t>
      </w:r>
      <w:r>
        <w:rPr/>
      </w:r>
      <w:r>
        <w:t>Title 35‑A, section 122, subsection 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§1803-C. Secondary Road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§1803-C. Secondary Road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§1803-C. SECONDARY ROAD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