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§154-D. Notice to vacate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§154-D. Notice to vacate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§154-D. NOTICE TO VACATE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