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833</w:t>
        <w:t xml:space="preserve">.  </w:t>
      </w:r>
      <w:r>
        <w:rPr>
          <w:b/>
        </w:rPr>
        <w:t xml:space="preserve">Confidentiality</w:t>
      </w:r>
    </w:p>
    <w:p>
      <w:pPr>
        <w:jc w:val="both"/>
        <w:spacing w:before="100" w:after="100"/>
        <w:ind w:start="360"/>
        <w:ind w:firstLine="360"/>
      </w:pPr>
      <w:r>
        <w:rPr/>
      </w:r>
      <w:r>
        <w:rPr/>
      </w:r>
      <w:r>
        <w:t xml:space="preserve">No other disclosure of HIV test results may be made without written authorization from both the person tested and the person exposed.</w:t>
      </w:r>
      <w:r>
        <w:t xml:space="preserve">  </w:t>
      </w:r>
      <w:r xmlns:wp="http://schemas.openxmlformats.org/drawingml/2010/wordprocessingDrawing" xmlns:w15="http://schemas.microsoft.com/office/word/2012/wordml">
        <w:rPr>
          <w:rFonts w:ascii="Arial" w:hAnsi="Arial" w:cs="Arial"/>
          <w:sz w:val="22"/>
          <w:szCs w:val="22"/>
        </w:rPr>
        <w:t xml:space="preserve">[PL 1997, c. 368,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§833.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§833.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§833.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