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821</w:t>
        <w:t xml:space="preserve">.  </w:t>
      </w:r>
      <w:r>
        <w:rPr>
          <w:b/>
        </w:rPr>
        <w:t xml:space="preserve">Authority of department</w:t>
      </w:r>
    </w:p>
    <w:p>
      <w:pPr>
        <w:jc w:val="both"/>
        <w:spacing w:before="100" w:after="100"/>
        <w:ind w:start="360"/>
        <w:ind w:firstLine="360"/>
      </w:pPr>
      <w:r>
        <w:rPr/>
      </w:r>
      <w:r>
        <w:rPr/>
      </w:r>
      <w:r>
        <w:t xml:space="preserve">The department shall adopt rules pursuant to </w:t>
      </w:r>
      <w:r>
        <w:t>section 802</w:t>
      </w:r>
      <w:r>
        <w:t xml:space="preserve"> and establish procedures to carry out the rules to provide a uniform system of reporting, recording and collecting information and maintaining confidentiality concerning communicable diseases, environmental or occupational diseases or exposure to toxic agents.  The department may designate any communicable disease, environmental disease, occupational disease or exposure to a toxic agent as a notifiable disease or condition.  Any notifiable disease or condition must be reported to the department in accordance with this subchapter and the rules established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2005, c. 383,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 PL 2005, c. 383,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§821. Authority of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§821. Authority of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§821. AUTHORITY OF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