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Fire safety</w:t>
      </w:r>
    </w:p>
    <w:p>
      <w:pPr>
        <w:jc w:val="both"/>
        <w:spacing w:before="100" w:after="100"/>
        <w:ind w:start="360"/>
        <w:ind w:firstLine="360"/>
      </w:pPr>
      <w:r>
        <w:rPr/>
      </w:r>
      <w:r>
        <w:rPr/>
      </w:r>
      <w:r>
        <w:t xml:space="preserve">All procedures and other provisions included in </w:t>
      </w:r>
      <w:r>
        <w:t>section 7855, subsections 1</w:t>
      </w:r>
      <w:r>
        <w:t xml:space="preserve"> and </w:t>
      </w:r>
      <w:r>
        <w:t>2</w:t>
      </w:r>
      <w:r>
        <w:t xml:space="preserve"> for residential care facilities also apply to drug treatment centers.</w:t>
      </w:r>
      <w:r>
        <w:t xml:space="preserve">  </w:t>
      </w:r>
      <w:r xmlns:wp="http://schemas.openxmlformats.org/drawingml/2010/wordprocessingDrawing" xmlns:w15="http://schemas.microsoft.com/office/word/2012/wordml">
        <w:rPr>
          <w:rFonts w:ascii="Arial" w:hAnsi="Arial" w:cs="Arial"/>
          <w:sz w:val="22"/>
          <w:szCs w:val="22"/>
        </w:rPr>
        <w:t xml:space="preserve">[PL 2001, c. 596, Pt. B, §18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1989, c. 502, §A84 (AMD). PL 2001, c. 596, §B18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§8004.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§8004.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