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7305</w:t>
        <w:t xml:space="preserve">.  </w:t>
      </w:r>
      <w:r>
        <w:rPr>
          <w:b/>
        </w:rPr>
        <w:t xml:space="preserve">Funds</w:t>
      </w:r>
    </w:p>
    <w:p>
      <w:pPr>
        <w:jc w:val="both"/>
        <w:spacing w:before="100" w:after="0"/>
        <w:ind w:start="360"/>
        <w:ind w:firstLine="360"/>
      </w:pPr>
      <w:r>
        <w:rPr>
          <w:b/>
        </w:rPr>
        <w:t>1</w:t>
        <w:t xml:space="preserve">.  </w:t>
      </w:r>
      <w:r>
        <w:rPr>
          <w:b/>
        </w:rPr>
        <w:t xml:space="preserve">Federal and private funds.</w:t>
        <w:t xml:space="preserve"> </w:t>
      </w:r>
      <w:r>
        <w:t xml:space="preserve"> </w:t>
      </w:r>
      <w:r>
        <w:t xml:space="preserve">The department may apply for and use any federal or private funds and other support which become available to carry out any program of in-home and community support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w:pPr>
        <w:jc w:val="both"/>
        <w:spacing w:before="100" w:after="0"/>
        <w:ind w:start="360"/>
        <w:ind w:firstLine="360"/>
      </w:pPr>
      <w:r>
        <w:rPr>
          <w:b/>
        </w:rPr>
        <w:t>2</w:t>
        <w:t xml:space="preserve">.  </w:t>
      </w:r>
      <w:r>
        <w:rPr>
          <w:b/>
        </w:rPr>
        <w:t xml:space="preserve">Fee scale.</w:t>
        <w:t xml:space="preserve"> </w:t>
      </w:r>
      <w:r>
        <w:t xml:space="preserve"> </w:t>
      </w:r>
      <w:r>
        <w:t xml:space="preserve">The department shall develop, whenever practicable, sliding fee scales for in-home and community support services provided pursuant to this subtitle.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§86 (COR).]</w:t>
      </w:r>
    </w:p>
    <w:p>
      <w:pPr>
        <w:jc w:val="both"/>
        <w:spacing w:before="100" w:after="0"/>
        <w:ind w:start="360"/>
        <w:ind w:firstLine="360"/>
      </w:pPr>
      <w:r>
        <w:rPr>
          <w:b/>
        </w:rPr>
        <w:t>3</w:t>
        <w:t xml:space="preserve">.  </w:t>
      </w:r>
      <w:r>
        <w:rPr>
          <w:b/>
        </w:rPr>
        <w:t xml:space="preserve">Vouchers.</w:t>
        <w:t xml:space="preserve"> </w:t>
      </w:r>
      <w:r>
        <w:t xml:space="preserve"> </w:t>
      </w:r>
      <w:r>
        <w:t xml:space="preserve">The department may, through the use of vouchers, make payments directly to adults with long-term care needs to enable them to purchase in-home and community support services pursuant to this subtitle.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w:pPr>
        <w:jc w:val="both"/>
        <w:spacing w:before="100" w:after="0"/>
        <w:ind w:start="360"/>
        <w:ind w:firstLine="360"/>
      </w:pPr>
      <w:r>
        <w:rPr>
          <w:b/>
        </w:rPr>
        <w:t>4</w:t>
        <w:t xml:space="preserve">.  </w:t>
      </w:r>
      <w:r>
        <w:rPr>
          <w:b/>
        </w:rPr>
        <w:t xml:space="preserve">Distribution.</w:t>
        <w:t xml:space="preserve"> </w:t>
      </w:r>
      <w:r>
        <w:t xml:space="preserve"> </w:t>
      </w:r>
      <w:r>
        <w:t xml:space="preserve">The department shall disburse funds, pursuant to this subtitle, in a manner that ensures, to the extent practicable, equitable distribution of services among adults with long-term care needs and among the various regions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RR 1991, c. 2, §86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§7305.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§7305.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§7305.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